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2002 17 vom 19. Februar 2003</w:t>
      </w:r>
    </w:p>
    <w:p>
      <w:r>
        <w:t>GR Gerichte, 2003-02-19, DE</w:t>
      </w:r>
    </w:p>
    <w:p>
      <w:r>
        <w:rPr>
          <w:b/>
        </w:rPr>
        <w:t xml:space="preserve">Quelle: </w:t>
      </w:r>
      <w:r>
        <w:t>https://mcp.opencaselaw.ch/entscheid/gr_gerichte_PVG 2002 17</w:t>
      </w:r>
    </w:p>
    <w:p>
      <w:r>
        <w:t>FR: GR_GERICHTE PVG 2002 17 du 19 février 2003</w:t>
      </w:r>
    </w:p>
    <w:p>
      <w:r>
        <w:t>IT: GR_GERICHTE PVG 2002 17 del 19 febbraio 2003</w:t>
      </w:r>
    </w:p>
    <w:p>
      <w:pPr>
        <w:pStyle w:val="Heading2"/>
      </w:pPr>
      <w:r>
        <w:t>Volltext</w:t>
      </w:r>
    </w:p>
    <w:p>
      <w:r>
        <w:t>Bundesgerichtsurteile zu angefochtenen Urteilen früherer PVG-Jahrgänge Sentenze dei Tribunali federali riguardanti decisioni impugnate delle precedenti PTA PVG/PTA 2000 Nr. 34 Die dagegen an das Eidgenössische Versicherungsgericht erho- bene Verwaltungsgerichtsbeschwerde wurde mit Entscheid vom 19. Februar 2003 gutgeheissen. Formell bestätigte das Eidgenös- sische Versicherungsgericht die Möglichkeit der Verwaltung eine zweifellos unrichtige Verfügung in Widererwägung zu ziehen. Ma- teriell stellte das Gericht fest, dass die Versicherte ihren Lohnan- spruch früher hätte geltend machen müssen. Indem sie mit der Einleitung der Lohnklage mehr als ein Jahr zugewartet habe, sei sie der ihr obliegenden Schadenminderungspflicht nicht nachge- kommen und demzufolge ihres Anspruches auf Insolvenzentschä- digung verlustig gegangen (C 88/01). PVG/PTA 2001 Nr. 15 Mit Entscheid vom 20. Juni 2002 hiess das Bundesgericht die Ver- waltungsgerichtsbeschwerde der Eidgenössischen Steuerverwal- tung (ESTV) teilweise gut und änderte Ziff. 4 des angefochtenen VGU dahin ab, dass es die Gerichtskosten für das Bundessteuer- verfahren vor dem Verwaltungsgericht voll der Steuerpflichtigen auferlegte. Im Übrigen wurden die Verwaltungsgerichtsbeschwer- den der ESTV und der Steuerpflichtigen abgewiesen. Auf die staatsrechtliche Beschwerde der Steuerpflichtigen trat das Bun- desgericht nicht ein (2A.88/2002, 2A.89/2002 und 2P.55/2002). 174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